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0E3ED9">
            <w:r>
              <w:rPr>
                <w:noProof/>
              </w:rPr>
              <w:drawing>
                <wp:inline distT="0" distB="0" distL="0" distR="0">
                  <wp:extent cx="184785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B53D1A">
              <w:rPr>
                <w:rFonts w:ascii="Arial" w:hAnsi="Arial" w:cs="Arial"/>
                <w:b/>
                <w:color w:val="333399"/>
              </w:rPr>
              <w:t>3</w:t>
            </w:r>
            <w:r w:rsidR="004F051C">
              <w:rPr>
                <w:rFonts w:ascii="Arial" w:hAnsi="Arial" w:cs="Arial"/>
                <w:b/>
                <w:color w:val="333399"/>
              </w:rPr>
              <w:t>11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4F051C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General Science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2271CC" w:rsidRPr="002E4F4F" w:rsidTr="00782C1D"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2271C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I—</w:t>
            </w:r>
            <w:r w:rsidR="000D5A29" w:rsidRPr="000D5A29">
              <w:rPr>
                <w:sz w:val="20"/>
              </w:rPr>
              <w:t>NATURE OF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1A2918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4F051C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19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4F051C" w:rsidP="002271CC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procedures of scientific inquiry.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4F051C" w:rsidP="000D5A29">
            <w:pPr>
              <w:pStyle w:val="Tabletext"/>
              <w:tabs>
                <w:tab w:val="left" w:pos="3810"/>
              </w:tabs>
              <w:ind w:left="130" w:right="115"/>
              <w:rPr>
                <w:rFonts w:cs="Arial"/>
              </w:rPr>
            </w:pPr>
            <w:r>
              <w:t>Understand the history and nature of science.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F46F88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4F051C" w:rsidP="002271CC">
            <w:pPr>
              <w:pStyle w:val="Tabletext"/>
              <w:ind w:left="130" w:right="115"/>
              <w:rPr>
                <w:rFonts w:cs="Arial"/>
              </w:rPr>
            </w:pPr>
            <w:r>
              <w:t>Understand the relationships between science, technology, engineering, mathematics, and society.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2271CC" w:rsidRPr="002E4F4F" w:rsidTr="00782C1D"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2271C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II—</w:t>
            </w:r>
            <w:r w:rsidR="004F051C">
              <w:rPr>
                <w:sz w:val="20"/>
              </w:rPr>
              <w:t>PHYSICAL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1A2918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4F051C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37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4F051C" w:rsidRPr="002E4F4F" w:rsidTr="0084161B">
        <w:trPr>
          <w:cantSplit/>
          <w:trHeight w:val="405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F051C" w:rsidRPr="00EC0009" w:rsidRDefault="004F051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51C" w:rsidRPr="002E4F4F" w:rsidRDefault="004F051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051C" w:rsidRPr="002E4F4F" w:rsidRDefault="004F051C" w:rsidP="002271CC">
            <w:pPr>
              <w:pStyle w:val="Tabletext"/>
              <w:ind w:left="130" w:right="115"/>
              <w:rPr>
                <w:rFonts w:cs="Arial"/>
              </w:rPr>
            </w:pPr>
            <w:r>
              <w:t>Understand the properties and characteristics of matter.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</w:tr>
      <w:tr w:rsidR="004F051C" w:rsidRPr="002E4F4F" w:rsidTr="0084161B">
        <w:trPr>
          <w:cantSplit/>
          <w:trHeight w:val="405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051C" w:rsidRPr="002E4F4F" w:rsidRDefault="004F051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051C" w:rsidRPr="002E4F4F" w:rsidRDefault="004F051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F051C" w:rsidRPr="002E4F4F" w:rsidRDefault="004F051C" w:rsidP="002271CC">
            <w:pPr>
              <w:pStyle w:val="Tabletext"/>
              <w:ind w:left="130" w:right="115"/>
              <w:rPr>
                <w:rFonts w:cs="Arial"/>
              </w:rPr>
            </w:pPr>
            <w:r>
              <w:t>Understand chemical bonding, different types of chemical reactions, and stoichiometry.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</w:tr>
      <w:tr w:rsidR="004F051C" w:rsidRPr="002E4F4F" w:rsidTr="0084161B">
        <w:trPr>
          <w:cantSplit/>
          <w:trHeight w:val="405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051C" w:rsidRPr="002E4F4F" w:rsidRDefault="004F051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051C" w:rsidRDefault="004F051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F051C" w:rsidRPr="00BB7F2A" w:rsidRDefault="004F051C" w:rsidP="002271CC">
            <w:pPr>
              <w:pStyle w:val="Tabletext"/>
              <w:ind w:left="130" w:right="115"/>
              <w:rPr>
                <w:rFonts w:cs="Arial"/>
                <w:szCs w:val="18"/>
              </w:rPr>
            </w:pPr>
            <w:r>
              <w:t>Understand the characteristics of energy transformations in physical and chemical systems.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bookmarkStart w:id="0" w:name="_GoBack"/>
        <w:bookmarkEnd w:id="0"/>
      </w:tr>
      <w:tr w:rsidR="004F051C" w:rsidRPr="002E4F4F" w:rsidTr="0084161B">
        <w:trPr>
          <w:cantSplit/>
          <w:trHeight w:val="405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051C" w:rsidRPr="002E4F4F" w:rsidRDefault="004F051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051C" w:rsidRDefault="004F051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F051C" w:rsidRPr="00BB7F2A" w:rsidRDefault="004F051C" w:rsidP="002271CC">
            <w:pPr>
              <w:pStyle w:val="Tabletext"/>
              <w:ind w:left="130" w:right="115"/>
              <w:rPr>
                <w:rFonts w:cs="Arial"/>
                <w:szCs w:val="18"/>
              </w:rPr>
            </w:pPr>
            <w:r>
              <w:t>Understand force, motion, and energy.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</w:tr>
      <w:tr w:rsidR="004F051C" w:rsidRPr="002E4F4F" w:rsidTr="0084161B">
        <w:trPr>
          <w:cantSplit/>
          <w:trHeight w:val="405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051C" w:rsidRPr="002E4F4F" w:rsidRDefault="004F051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051C" w:rsidRDefault="004F051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F051C" w:rsidRPr="00BB7F2A" w:rsidRDefault="004F051C" w:rsidP="002271CC">
            <w:pPr>
              <w:pStyle w:val="Tabletext"/>
              <w:ind w:left="130" w:right="115"/>
              <w:rPr>
                <w:rFonts w:cs="Arial"/>
                <w:szCs w:val="18"/>
              </w:rPr>
            </w:pPr>
            <w:r>
              <w:t>Understand the characteristics and properties of mechanical and electromagnetic waves.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</w:tr>
      <w:tr w:rsidR="004F051C" w:rsidRPr="002E4F4F" w:rsidTr="0084161B">
        <w:trPr>
          <w:cantSplit/>
          <w:trHeight w:val="405"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51C" w:rsidRPr="002E4F4F" w:rsidRDefault="004F051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051C" w:rsidRDefault="004F051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F051C" w:rsidRPr="00BB7F2A" w:rsidRDefault="004F051C" w:rsidP="002271CC">
            <w:pPr>
              <w:pStyle w:val="Tabletext"/>
              <w:ind w:left="130" w:right="115"/>
              <w:rPr>
                <w:rFonts w:cs="Arial"/>
                <w:szCs w:val="18"/>
              </w:rPr>
            </w:pPr>
            <w:r>
              <w:t>Understand electricity and magnetism.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051C" w:rsidRPr="002E4F4F" w:rsidRDefault="004F051C" w:rsidP="00B1657C">
            <w:pPr>
              <w:pStyle w:val="Tablerow2"/>
              <w:rPr>
                <w:rFonts w:cs="Arial"/>
              </w:rPr>
            </w:pPr>
          </w:p>
        </w:tc>
      </w:tr>
      <w:tr w:rsidR="002271CC" w:rsidRPr="002E4F4F" w:rsidTr="00782C1D"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271CC" w:rsidRDefault="002271CC" w:rsidP="002271C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2271CC">
              <w:rPr>
                <w:rFonts w:cs="Arial"/>
                <w:sz w:val="20"/>
              </w:rPr>
              <w:t>CONTENT DOMAIN III—</w:t>
            </w:r>
            <w:r w:rsidR="004F051C">
              <w:rPr>
                <w:sz w:val="20"/>
              </w:rPr>
              <w:t>LIFE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1A2918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826476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4F051C">
              <w:rPr>
                <w:rFonts w:cs="Arial"/>
              </w:rPr>
              <w:t>5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3D1AA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  <w:r w:rsidR="004F051C"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4F051C" w:rsidP="002271CC">
            <w:pPr>
              <w:pStyle w:val="Tabletext"/>
              <w:ind w:left="130" w:right="115"/>
              <w:rPr>
                <w:rFonts w:cs="Arial"/>
              </w:rPr>
            </w:pPr>
            <w:r>
              <w:t>Understand the characteristics, organization, and processes of cells.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3D1AAC" w:rsidRPr="002E4F4F" w:rsidTr="00151B0C">
        <w:trPr>
          <w:cantSplit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D1AAC" w:rsidRPr="00EC0009" w:rsidRDefault="003D1AA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AAC" w:rsidRDefault="003D1AA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  <w:r w:rsidR="004F051C">
              <w:rPr>
                <w:rFonts w:cs="Arial"/>
              </w:rPr>
              <w:t>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1AAC" w:rsidRPr="002E4F4F" w:rsidRDefault="004F051C" w:rsidP="002271CC">
            <w:pPr>
              <w:pStyle w:val="Tabletext"/>
              <w:ind w:left="130" w:right="115"/>
              <w:rPr>
                <w:rFonts w:cs="Arial"/>
              </w:rPr>
            </w:pPr>
            <w:r>
              <w:t>Understand the classification and characteristics of organisms.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AAC" w:rsidRPr="002E4F4F" w:rsidRDefault="003D1AA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  <w:r w:rsidR="004F051C">
              <w:rPr>
                <w:rFonts w:cs="Arial"/>
              </w:rPr>
              <w:t>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4F051C" w:rsidP="000D5A29">
            <w:pPr>
              <w:pStyle w:val="Tabletext"/>
              <w:tabs>
                <w:tab w:val="left" w:pos="2835"/>
              </w:tabs>
              <w:ind w:left="130" w:right="115"/>
              <w:rPr>
                <w:rFonts w:cs="Arial"/>
              </w:rPr>
            </w:pPr>
            <w:r>
              <w:t>Understand concepts and principles related to genetics and evolution.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  <w:r w:rsidR="004F051C"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4F051C" w:rsidP="002271CC">
            <w:pPr>
              <w:pStyle w:val="Tabletext"/>
              <w:ind w:left="130" w:right="115"/>
              <w:rPr>
                <w:rFonts w:cs="Arial"/>
              </w:rPr>
            </w:pPr>
            <w:r>
              <w:t>Understand characteristics of different biomes, relationships among organisms, and the flow of matter and energy through ecosystems.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2271CC" w:rsidRPr="002E4F4F" w:rsidTr="00782C1D"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1CC" w:rsidRPr="002E4F4F" w:rsidRDefault="002271C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0D5A29" w:rsidRDefault="002271CC" w:rsidP="002271C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0D5A29">
              <w:rPr>
                <w:rFonts w:cs="Arial"/>
                <w:sz w:val="20"/>
              </w:rPr>
              <w:t>CONTENT DOMAIN IV—</w:t>
            </w:r>
            <w:r w:rsidR="004F051C">
              <w:rPr>
                <w:rFonts w:cs="Arial"/>
                <w:sz w:val="20"/>
              </w:rPr>
              <w:t>EARTH AND SPACE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534DDE" w:rsidRDefault="001A2918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4F051C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19</w:t>
            </w:r>
            <w:r w:rsidR="002271C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2271CC" w:rsidRPr="002E4F4F" w:rsidRDefault="002271CC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</w:t>
            </w:r>
            <w:r w:rsidR="004F051C">
              <w:rPr>
                <w:rFonts w:cs="Arial"/>
              </w:rPr>
              <w:t>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4F051C" w:rsidP="000D5A29">
            <w:pPr>
              <w:pStyle w:val="Tabletext"/>
              <w:tabs>
                <w:tab w:val="left" w:pos="1305"/>
              </w:tabs>
              <w:ind w:left="130" w:right="115"/>
              <w:rPr>
                <w:rFonts w:cs="Arial"/>
              </w:rPr>
            </w:pPr>
            <w:r>
              <w:t>Understand physical geology and the history of Earth.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</w:t>
            </w:r>
            <w:r w:rsidR="004F051C">
              <w:rPr>
                <w:rFonts w:cs="Arial"/>
              </w:rPr>
              <w:t>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4F051C" w:rsidP="002271CC">
            <w:pPr>
              <w:pStyle w:val="Tabletext"/>
              <w:ind w:left="130" w:right="115"/>
              <w:rPr>
                <w:rFonts w:cs="Arial"/>
              </w:rPr>
            </w:pPr>
            <w:r>
              <w:t>Understand characteristics of the hydrosphere, weather, and climate.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</w:t>
            </w:r>
            <w:r w:rsidR="004F051C">
              <w:rPr>
                <w:rFonts w:cs="Arial"/>
              </w:rPr>
              <w:t>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4F051C" w:rsidP="002271CC">
            <w:pPr>
              <w:pStyle w:val="Tabletext"/>
              <w:ind w:left="130" w:right="115"/>
              <w:rPr>
                <w:rFonts w:cs="Arial"/>
              </w:rPr>
            </w:pPr>
            <w:r>
              <w:t>Understand characteristics of the solar system and universe.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/>
    <w:sectPr w:rsidR="00653F4A" w:rsidSect="005D0381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C88" w:rsidRDefault="002F3C88" w:rsidP="00B1657C">
      <w:pPr>
        <w:pStyle w:val="Tablerow2"/>
      </w:pPr>
      <w:r>
        <w:separator/>
      </w:r>
    </w:p>
  </w:endnote>
  <w:endnote w:type="continuationSeparator" w:id="0">
    <w:p w:rsidR="002F3C88" w:rsidRDefault="002F3C88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08"/>
      <w:gridCol w:w="1908"/>
    </w:tblGrid>
    <w:tr w:rsidR="006C503A" w:rsidRPr="00653F4A" w:rsidTr="0016492D">
      <w:tc>
        <w:tcPr>
          <w:tcW w:w="9108" w:type="dxa"/>
        </w:tcPr>
        <w:p w:rsidR="006C503A" w:rsidRPr="00070436" w:rsidRDefault="006C503A" w:rsidP="00070436">
          <w:pPr>
            <w:spacing w:before="40" w:after="40"/>
            <w:jc w:val="center"/>
            <w:rPr>
              <w:color w:val="333399"/>
              <w:sz w:val="15"/>
              <w:szCs w:val="15"/>
            </w:rPr>
          </w:pPr>
          <w:r w:rsidRPr="00070436">
            <w:rPr>
              <w:color w:val="333399"/>
              <w:sz w:val="15"/>
              <w:szCs w:val="15"/>
            </w:rPr>
            <w:t>Copyright © 2010 Pearson Education, Inc. or its affiliate(s).  All rights reserved.</w:t>
          </w:r>
          <w:r w:rsidRPr="00070436">
            <w:rPr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070436">
                <w:rPr>
                  <w:color w:val="333399"/>
                  <w:sz w:val="15"/>
                  <w:szCs w:val="15"/>
                </w:rPr>
                <w:t>P.O. Box 226</w:t>
              </w:r>
            </w:smartTag>
            <w:r w:rsidRPr="00070436">
              <w:rPr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070436">
                <w:rPr>
                  <w:color w:val="333399"/>
                  <w:sz w:val="15"/>
                  <w:szCs w:val="15"/>
                </w:rPr>
                <w:t>Amherst</w:t>
              </w:r>
            </w:smartTag>
            <w:r w:rsidRPr="00070436">
              <w:rPr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070436">
                <w:rPr>
                  <w:color w:val="333399"/>
                  <w:sz w:val="15"/>
                  <w:szCs w:val="15"/>
                </w:rPr>
                <w:t>MA</w:t>
              </w:r>
            </w:smartTag>
            <w:r w:rsidRPr="00070436">
              <w:rPr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070436">
                <w:rPr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  <w:tc>
        <w:tcPr>
          <w:tcW w:w="1908" w:type="dxa"/>
          <w:vMerge w:val="restart"/>
        </w:tcPr>
        <w:p w:rsidR="006C503A" w:rsidRPr="00653F4A" w:rsidRDefault="000E3ED9" w:rsidP="0016492D">
          <w:pPr>
            <w:spacing w:after="60"/>
            <w:jc w:val="center"/>
            <w:rPr>
              <w:color w:val="333399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-600075</wp:posOffset>
                </wp:positionV>
                <wp:extent cx="904875" cy="257175"/>
                <wp:effectExtent l="0" t="0" r="9525" b="9525"/>
                <wp:wrapNone/>
                <wp:docPr id="2" name="Picture 2" descr="PEA_4c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EA_4c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C503A" w:rsidRPr="00653F4A" w:rsidTr="0016492D">
      <w:tc>
        <w:tcPr>
          <w:tcW w:w="9108" w:type="dxa"/>
        </w:tcPr>
        <w:p w:rsidR="006C503A" w:rsidRPr="00070436" w:rsidRDefault="006C503A" w:rsidP="0007043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color w:val="333399"/>
              <w:sz w:val="15"/>
              <w:szCs w:val="15"/>
            </w:rPr>
          </w:pPr>
          <w:r w:rsidRPr="00070436">
            <w:rPr>
              <w:color w:val="333399"/>
              <w:sz w:val="15"/>
              <w:szCs w:val="15"/>
            </w:rPr>
            <w:t xml:space="preserve">NES, the NES logo, and National Evaluation Series are trademarks in the </w:t>
          </w:r>
          <w:smartTag w:uri="urn:schemas-microsoft-com:office:smarttags" w:element="country-region">
            <w:smartTag w:uri="urn:schemas-microsoft-com:office:smarttags" w:element="place">
              <w:r w:rsidRPr="00070436">
                <w:rPr>
                  <w:color w:val="333399"/>
                  <w:sz w:val="15"/>
                  <w:szCs w:val="15"/>
                </w:rPr>
                <w:t>U.S.</w:t>
              </w:r>
            </w:smartTag>
          </w:smartTag>
          <w:r w:rsidRPr="00070436">
            <w:rPr>
              <w:color w:val="333399"/>
              <w:sz w:val="15"/>
              <w:szCs w:val="15"/>
            </w:rPr>
            <w:t xml:space="preserve"> and/or other countries of Pearson Education, Inc. or its affiliate(s).</w:t>
          </w:r>
        </w:p>
      </w:tc>
      <w:tc>
        <w:tcPr>
          <w:tcW w:w="1908" w:type="dxa"/>
          <w:vMerge/>
        </w:tcPr>
        <w:p w:rsidR="006C503A" w:rsidRPr="00653F4A" w:rsidRDefault="006C503A" w:rsidP="0016492D">
          <w:pPr>
            <w:tabs>
              <w:tab w:val="left" w:pos="720"/>
              <w:tab w:val="left" w:pos="1440"/>
            </w:tabs>
            <w:spacing w:before="40" w:after="80"/>
            <w:rPr>
              <w:color w:val="333399"/>
              <w:sz w:val="18"/>
              <w:szCs w:val="18"/>
            </w:rPr>
          </w:pPr>
        </w:p>
      </w:tc>
    </w:tr>
    <w:tr w:rsidR="006C503A" w:rsidRPr="00955AA6" w:rsidTr="0016492D">
      <w:tc>
        <w:tcPr>
          <w:tcW w:w="9108" w:type="dxa"/>
        </w:tcPr>
        <w:p w:rsidR="006C503A" w:rsidRPr="00070436" w:rsidRDefault="006C503A" w:rsidP="00070436">
          <w:pPr>
            <w:spacing w:before="40" w:after="40"/>
            <w:jc w:val="center"/>
            <w:rPr>
              <w:snapToGrid w:val="0"/>
              <w:color w:val="333399"/>
              <w:sz w:val="15"/>
              <w:szCs w:val="15"/>
            </w:rPr>
          </w:pPr>
          <w:r w:rsidRPr="00070436">
            <w:rPr>
              <w:snapToGrid w:val="0"/>
              <w:color w:val="333399"/>
              <w:sz w:val="15"/>
              <w:szCs w:val="15"/>
            </w:rPr>
            <w:t xml:space="preserve">Pearson and its logo are trademarks in the </w:t>
          </w:r>
          <w:smartTag w:uri="urn:schemas-microsoft-com:office:smarttags" w:element="country-region">
            <w:smartTag w:uri="urn:schemas-microsoft-com:office:smarttags" w:element="place">
              <w:r w:rsidRPr="00070436">
                <w:rPr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070436">
            <w:rPr>
              <w:snapToGrid w:val="0"/>
              <w:color w:val="333399"/>
              <w:sz w:val="15"/>
              <w:szCs w:val="15"/>
            </w:rPr>
            <w:t xml:space="preserve"> and/or other countries</w:t>
          </w:r>
          <w:r>
            <w:rPr>
              <w:snapToGrid w:val="0"/>
              <w:color w:val="333399"/>
              <w:sz w:val="15"/>
              <w:szCs w:val="15"/>
            </w:rPr>
            <w:t xml:space="preserve"> </w:t>
          </w:r>
          <w:r w:rsidRPr="00070436">
            <w:rPr>
              <w:snapToGrid w:val="0"/>
              <w:color w:val="333399"/>
              <w:sz w:val="15"/>
              <w:szCs w:val="15"/>
            </w:rPr>
            <w:t>of Pearson Education, Inc. or its affiliate(s).</w:t>
          </w:r>
        </w:p>
      </w:tc>
      <w:tc>
        <w:tcPr>
          <w:tcW w:w="1908" w:type="dxa"/>
          <w:vMerge/>
        </w:tcPr>
        <w:p w:rsidR="006C503A" w:rsidRPr="00653F4A" w:rsidRDefault="006C503A" w:rsidP="0016492D">
          <w:pPr>
            <w:spacing w:before="80" w:after="80"/>
            <w:rPr>
              <w:snapToGrid w:val="0"/>
              <w:color w:val="333399"/>
              <w:sz w:val="18"/>
              <w:szCs w:val="18"/>
            </w:rPr>
          </w:pPr>
        </w:p>
      </w:tc>
    </w:tr>
  </w:tbl>
  <w:p w:rsidR="006C503A" w:rsidRPr="00070436" w:rsidRDefault="006C503A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12FF6" w:rsidTr="001936C0">
      <w:tc>
        <w:tcPr>
          <w:tcW w:w="1569" w:type="dxa"/>
          <w:vMerge w:val="restart"/>
        </w:tcPr>
        <w:p w:rsidR="00012FF6" w:rsidRPr="008B4E56" w:rsidRDefault="00012FF6" w:rsidP="00012FF6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326EA0DE" wp14:editId="591E2756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12FF6" w:rsidRPr="008B4E56" w:rsidRDefault="00012FF6" w:rsidP="00A82FE7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</w:t>
          </w:r>
          <w:r w:rsidR="00A82FE7">
            <w:rPr>
              <w:rFonts w:ascii="Arial" w:hAnsi="Arial" w:cs="Arial"/>
              <w:color w:val="333399"/>
              <w:sz w:val="15"/>
              <w:szCs w:val="15"/>
            </w:rPr>
            <w:t>8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12FF6" w:rsidTr="001936C0">
      <w:tc>
        <w:tcPr>
          <w:tcW w:w="1569" w:type="dxa"/>
          <w:vMerge/>
        </w:tcPr>
        <w:p w:rsidR="00012FF6" w:rsidRPr="008B4E56" w:rsidRDefault="00012FF6" w:rsidP="00012FF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12FF6" w:rsidRPr="008B4E56" w:rsidRDefault="00012FF6" w:rsidP="00012FF6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12FF6" w:rsidTr="001936C0">
      <w:tc>
        <w:tcPr>
          <w:tcW w:w="1569" w:type="dxa"/>
          <w:vMerge/>
        </w:tcPr>
        <w:p w:rsidR="00012FF6" w:rsidRPr="008B4E56" w:rsidRDefault="00012FF6" w:rsidP="00012FF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12FF6" w:rsidRPr="008B4E56" w:rsidRDefault="00012FF6" w:rsidP="00012FF6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012FF6" w:rsidRPr="00334DA5" w:rsidRDefault="00012FF6" w:rsidP="00012FF6">
    <w:pPr>
      <w:pStyle w:val="Footer"/>
      <w:rPr>
        <w:sz w:val="4"/>
        <w:szCs w:val="4"/>
      </w:rPr>
    </w:pPr>
  </w:p>
  <w:p w:rsidR="006C503A" w:rsidRPr="00334DA5" w:rsidRDefault="006C503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C88" w:rsidRDefault="002F3C88" w:rsidP="00B1657C">
      <w:pPr>
        <w:pStyle w:val="Tablerow2"/>
      </w:pPr>
      <w:r>
        <w:separator/>
      </w:r>
    </w:p>
  </w:footnote>
  <w:footnote w:type="continuationSeparator" w:id="0">
    <w:p w:rsidR="002F3C88" w:rsidRDefault="002F3C88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12FF6"/>
    <w:rsid w:val="00070436"/>
    <w:rsid w:val="000B2BC3"/>
    <w:rsid w:val="000D5A29"/>
    <w:rsid w:val="000E3ED9"/>
    <w:rsid w:val="00147F03"/>
    <w:rsid w:val="00151B0C"/>
    <w:rsid w:val="0016492D"/>
    <w:rsid w:val="001A2918"/>
    <w:rsid w:val="001A7150"/>
    <w:rsid w:val="001B38A8"/>
    <w:rsid w:val="002037B2"/>
    <w:rsid w:val="002271CC"/>
    <w:rsid w:val="0027134E"/>
    <w:rsid w:val="002C4110"/>
    <w:rsid w:val="002C7FC5"/>
    <w:rsid w:val="002E45A6"/>
    <w:rsid w:val="002E4F4F"/>
    <w:rsid w:val="002F3C88"/>
    <w:rsid w:val="003259C2"/>
    <w:rsid w:val="00334DA5"/>
    <w:rsid w:val="00374191"/>
    <w:rsid w:val="003756A3"/>
    <w:rsid w:val="003D1AAC"/>
    <w:rsid w:val="004055C2"/>
    <w:rsid w:val="00410B8B"/>
    <w:rsid w:val="00443CD8"/>
    <w:rsid w:val="004F051C"/>
    <w:rsid w:val="00534DDE"/>
    <w:rsid w:val="00594B31"/>
    <w:rsid w:val="005A60AC"/>
    <w:rsid w:val="005A706F"/>
    <w:rsid w:val="005D0381"/>
    <w:rsid w:val="005E5845"/>
    <w:rsid w:val="00610681"/>
    <w:rsid w:val="00633093"/>
    <w:rsid w:val="00650985"/>
    <w:rsid w:val="00653F4A"/>
    <w:rsid w:val="006564DE"/>
    <w:rsid w:val="00667B88"/>
    <w:rsid w:val="006C503A"/>
    <w:rsid w:val="00751937"/>
    <w:rsid w:val="00782C1D"/>
    <w:rsid w:val="007D481E"/>
    <w:rsid w:val="00826476"/>
    <w:rsid w:val="0082711A"/>
    <w:rsid w:val="0084161B"/>
    <w:rsid w:val="009131DE"/>
    <w:rsid w:val="00950AAD"/>
    <w:rsid w:val="00955AA6"/>
    <w:rsid w:val="009737D0"/>
    <w:rsid w:val="009B1D27"/>
    <w:rsid w:val="009C66B3"/>
    <w:rsid w:val="009F4C7C"/>
    <w:rsid w:val="00A804AA"/>
    <w:rsid w:val="00A82FE7"/>
    <w:rsid w:val="00B1657C"/>
    <w:rsid w:val="00B25EF3"/>
    <w:rsid w:val="00B53D1A"/>
    <w:rsid w:val="00C83F51"/>
    <w:rsid w:val="00C84F79"/>
    <w:rsid w:val="00CA3F4F"/>
    <w:rsid w:val="00CD5815"/>
    <w:rsid w:val="00DA3FAC"/>
    <w:rsid w:val="00DE2F16"/>
    <w:rsid w:val="00E33199"/>
    <w:rsid w:val="00E506BE"/>
    <w:rsid w:val="00E93565"/>
    <w:rsid w:val="00EB3ADD"/>
    <w:rsid w:val="00EC0009"/>
    <w:rsid w:val="00F047AC"/>
    <w:rsid w:val="00F1263C"/>
    <w:rsid w:val="00F46F88"/>
    <w:rsid w:val="00F54350"/>
    <w:rsid w:val="00F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BD7575-3271-4CED-8565-518C69F6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D5A29"/>
    <w:pPr>
      <w:keepNext/>
      <w:outlineLvl w:val="0"/>
    </w:pPr>
    <w:rPr>
      <w:rFonts w:ascii="Arial" w:hAnsi="Arial"/>
      <w:b/>
      <w:kern w:val="28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  <w:style w:type="paragraph" w:customStyle="1" w:styleId="objective">
    <w:name w:val="objective"/>
    <w:basedOn w:val="Normal"/>
    <w:next w:val="Normal"/>
    <w:rsid w:val="000D5A29"/>
    <w:pPr>
      <w:ind w:left="720" w:hanging="720"/>
    </w:pPr>
    <w:rPr>
      <w:rFonts w:ascii="Arial" w:hAnsi="Arial"/>
      <w:b/>
      <w:sz w:val="21"/>
      <w:szCs w:val="20"/>
    </w:rPr>
  </w:style>
  <w:style w:type="character" w:styleId="PageNumber">
    <w:name w:val="page number"/>
    <w:basedOn w:val="DefaultParagraphFont"/>
    <w:rsid w:val="000D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311: General Science</vt:lpstr>
    </vt:vector>
  </TitlesOfParts>
  <Company>ES Pearson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311: General Science</dc:title>
  <dc:subject/>
  <dc:creator>Bunny Hathaway</dc:creator>
  <cp:keywords/>
  <dc:description/>
  <cp:lastModifiedBy>Bunny Hathaway</cp:lastModifiedBy>
  <cp:revision>5</cp:revision>
  <cp:lastPrinted>2010-06-02T17:28:00Z</cp:lastPrinted>
  <dcterms:created xsi:type="dcterms:W3CDTF">2018-03-07T17:52:00Z</dcterms:created>
  <dcterms:modified xsi:type="dcterms:W3CDTF">2018-03-07T20:12:00Z</dcterms:modified>
</cp:coreProperties>
</file>