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4D5904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B53D1A">
              <w:rPr>
                <w:rFonts w:ascii="Arial" w:hAnsi="Arial" w:cs="Arial"/>
                <w:b/>
                <w:color w:val="333399"/>
              </w:rPr>
              <w:t>305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B53D1A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Biology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2271CC" w:rsidRPr="002E4F4F" w:rsidTr="00782C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I—</w:t>
            </w:r>
            <w:r w:rsidR="000D5A29" w:rsidRPr="000D5A29">
              <w:rPr>
                <w:sz w:val="20"/>
              </w:rPr>
              <w:t>NATURE OF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4055C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826476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principles and procedures of scientific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0D5A29">
            <w:pPr>
              <w:pStyle w:val="Tabletext"/>
              <w:tabs>
                <w:tab w:val="left" w:pos="3810"/>
              </w:tabs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history and nature of science.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relationships between biology, engineering, technology, mathematics, and society.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271CC" w:rsidRPr="002E4F4F" w:rsidTr="00782C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II—</w:t>
            </w:r>
            <w:r w:rsidR="000D5A29" w:rsidRPr="00BB7F2A">
              <w:rPr>
                <w:sz w:val="20"/>
              </w:rPr>
              <w:t>BIOCHEMISTRY AND CELL BIOLOGY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4055C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82647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594B31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chemistry of living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3D1AAC" w:rsidRPr="002E4F4F" w:rsidTr="00594B31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AAC" w:rsidRPr="002E4F4F" w:rsidRDefault="003D1AA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1AAC" w:rsidRPr="002E4F4F" w:rsidRDefault="003D1AA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1AA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cell structure, function, and bioenergetics.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</w:tr>
      <w:tr w:rsidR="002271CC" w:rsidRPr="002E4F4F" w:rsidTr="00782C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III—</w:t>
            </w:r>
            <w:r w:rsidR="000D5A29" w:rsidRPr="00BB7F2A">
              <w:rPr>
                <w:sz w:val="20"/>
              </w:rPr>
              <w:t>GENETICS AND EVOLUTION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4055C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82647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3D1AA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molecular genetics.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3D1AA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D1AAC" w:rsidRPr="00EC0009" w:rsidRDefault="003D1AA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AAC" w:rsidRDefault="003D1AA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1AA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patterns and processes of inheritance.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0D5A29">
            <w:pPr>
              <w:pStyle w:val="Tabletext"/>
              <w:tabs>
                <w:tab w:val="left" w:pos="2835"/>
              </w:tabs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mechanisms of biological evolution.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scientific explanations and evidence for the history of life on Earth.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271CC" w:rsidRPr="002E4F4F" w:rsidTr="00782C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0D5A29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0D5A29">
              <w:rPr>
                <w:rFonts w:cs="Arial"/>
                <w:sz w:val="20"/>
              </w:rPr>
              <w:t>CONTENT DOMAIN IV—</w:t>
            </w:r>
            <w:r w:rsidR="000D5A29" w:rsidRPr="000D5A29">
              <w:rPr>
                <w:rFonts w:cs="Arial"/>
                <w:sz w:val="20"/>
              </w:rPr>
              <w:t>BIOLOGICAL UNITY AND DIVERSITY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4055C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82647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0D5A29">
            <w:pPr>
              <w:pStyle w:val="Tabletext"/>
              <w:tabs>
                <w:tab w:val="left" w:pos="1305"/>
              </w:tabs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structures and functions of organisms and their life cycles.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how organisms obtain, store, and use energy and matter to maintain homeostasis.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anatomy and physiology of human organ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271CC" w:rsidRPr="002E4F4F" w:rsidTr="00782C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V—</w:t>
            </w:r>
            <w:r w:rsidR="000D5A29" w:rsidRPr="00BB7F2A">
              <w:rPr>
                <w:sz w:val="20"/>
              </w:rPr>
              <w:t>ECOLOGY AND ENVIRONMENT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4055C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82647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0D5A29">
            <w:pPr>
              <w:pStyle w:val="Tabletext"/>
              <w:tabs>
                <w:tab w:val="left" w:pos="1995"/>
              </w:tabs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populations and communities.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D5A29" w:rsidP="000D5A29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ecosystems and biomes.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3D1AAC" w:rsidRPr="002E4F4F" w:rsidTr="003D1AA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AAC" w:rsidRPr="002E4F4F" w:rsidRDefault="003D1AA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1AAC" w:rsidRPr="002E4F4F" w:rsidRDefault="003D1AA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1AAC" w:rsidRPr="002E4F4F" w:rsidRDefault="000D5A29" w:rsidP="002271CC">
            <w:pPr>
              <w:pStyle w:val="Tabletext"/>
              <w:ind w:left="130" w:right="115"/>
              <w:rPr>
                <w:rFonts w:cs="Arial"/>
              </w:rPr>
            </w:pPr>
            <w:r w:rsidRPr="00BB7F2A">
              <w:rPr>
                <w:rFonts w:cs="Arial"/>
                <w:szCs w:val="18"/>
              </w:rPr>
              <w:t>Understand the effects of human activities on the biosphere.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5D0381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0AC" w:rsidRDefault="005A60AC" w:rsidP="00B1657C">
      <w:pPr>
        <w:pStyle w:val="Tablerow2"/>
      </w:pPr>
      <w:r>
        <w:separator/>
      </w:r>
    </w:p>
  </w:endnote>
  <w:endnote w:type="continuationSeparator" w:id="0">
    <w:p w:rsidR="005A60AC" w:rsidRDefault="005A60AC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5A2BCC" w:rsidTr="00711478">
      <w:tc>
        <w:tcPr>
          <w:tcW w:w="1569" w:type="dxa"/>
          <w:vMerge w:val="restart"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5A2BCC" w:rsidTr="00711478">
      <w:tc>
        <w:tcPr>
          <w:tcW w:w="1569" w:type="dxa"/>
          <w:vMerge/>
        </w:tcPr>
        <w:p w:rsidR="005A2BCC" w:rsidRPr="008B4E56" w:rsidRDefault="005A2BCC" w:rsidP="005A2BCC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A2BCC" w:rsidRPr="008B4E56" w:rsidRDefault="005A2BCC" w:rsidP="005A2BCC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5A2BCC" w:rsidTr="00711478">
      <w:tc>
        <w:tcPr>
          <w:tcW w:w="1569" w:type="dxa"/>
          <w:vMerge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C503A" w:rsidRPr="00070436" w:rsidRDefault="006C503A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5A2BCC" w:rsidTr="00711478">
      <w:tc>
        <w:tcPr>
          <w:tcW w:w="1569" w:type="dxa"/>
          <w:vMerge w:val="restart"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5A2BCC" w:rsidTr="00711478">
      <w:tc>
        <w:tcPr>
          <w:tcW w:w="1569" w:type="dxa"/>
          <w:vMerge/>
        </w:tcPr>
        <w:p w:rsidR="005A2BCC" w:rsidRPr="008B4E56" w:rsidRDefault="005A2BCC" w:rsidP="005A2BCC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A2BCC" w:rsidRPr="008B4E56" w:rsidRDefault="005A2BCC" w:rsidP="005A2BCC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5A2BCC" w:rsidTr="00711478">
      <w:tc>
        <w:tcPr>
          <w:tcW w:w="1569" w:type="dxa"/>
          <w:vMerge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A2BCC" w:rsidRPr="008B4E56" w:rsidRDefault="005A2BCC" w:rsidP="005A2BCC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C503A" w:rsidRPr="00334DA5" w:rsidRDefault="006C503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0AC" w:rsidRDefault="005A60AC" w:rsidP="00B1657C">
      <w:pPr>
        <w:pStyle w:val="Tablerow2"/>
      </w:pPr>
      <w:r>
        <w:separator/>
      </w:r>
    </w:p>
  </w:footnote>
  <w:footnote w:type="continuationSeparator" w:id="0">
    <w:p w:rsidR="005A60AC" w:rsidRDefault="005A60AC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0D5A29"/>
    <w:rsid w:val="00147F03"/>
    <w:rsid w:val="00151B0C"/>
    <w:rsid w:val="0016492D"/>
    <w:rsid w:val="001A7150"/>
    <w:rsid w:val="001B38A8"/>
    <w:rsid w:val="002037B2"/>
    <w:rsid w:val="002271CC"/>
    <w:rsid w:val="0027134E"/>
    <w:rsid w:val="002C4110"/>
    <w:rsid w:val="002C7FC5"/>
    <w:rsid w:val="002E45A6"/>
    <w:rsid w:val="002E4F4F"/>
    <w:rsid w:val="003259C2"/>
    <w:rsid w:val="00334DA5"/>
    <w:rsid w:val="00374191"/>
    <w:rsid w:val="003756A3"/>
    <w:rsid w:val="003D1AAC"/>
    <w:rsid w:val="004055C2"/>
    <w:rsid w:val="00410B8B"/>
    <w:rsid w:val="00443CD8"/>
    <w:rsid w:val="004D5904"/>
    <w:rsid w:val="00534DDE"/>
    <w:rsid w:val="00594B31"/>
    <w:rsid w:val="005A2BCC"/>
    <w:rsid w:val="005A60AC"/>
    <w:rsid w:val="005A706F"/>
    <w:rsid w:val="005D0381"/>
    <w:rsid w:val="005E5845"/>
    <w:rsid w:val="00610681"/>
    <w:rsid w:val="00633093"/>
    <w:rsid w:val="00650985"/>
    <w:rsid w:val="00653F4A"/>
    <w:rsid w:val="006564DE"/>
    <w:rsid w:val="00667B88"/>
    <w:rsid w:val="006C503A"/>
    <w:rsid w:val="00751937"/>
    <w:rsid w:val="00782C1D"/>
    <w:rsid w:val="007D481E"/>
    <w:rsid w:val="00826476"/>
    <w:rsid w:val="0082711A"/>
    <w:rsid w:val="009131DE"/>
    <w:rsid w:val="00950AAD"/>
    <w:rsid w:val="00955AA6"/>
    <w:rsid w:val="009737D0"/>
    <w:rsid w:val="009B1D27"/>
    <w:rsid w:val="009C66B3"/>
    <w:rsid w:val="009F4C7C"/>
    <w:rsid w:val="00A804AA"/>
    <w:rsid w:val="00B1657C"/>
    <w:rsid w:val="00B25EF3"/>
    <w:rsid w:val="00B53D1A"/>
    <w:rsid w:val="00C83F51"/>
    <w:rsid w:val="00C84F79"/>
    <w:rsid w:val="00CD5815"/>
    <w:rsid w:val="00DA3FAC"/>
    <w:rsid w:val="00DE2F16"/>
    <w:rsid w:val="00E33199"/>
    <w:rsid w:val="00E506BE"/>
    <w:rsid w:val="00E93565"/>
    <w:rsid w:val="00EB3ADD"/>
    <w:rsid w:val="00EC0009"/>
    <w:rsid w:val="00F1263C"/>
    <w:rsid w:val="00F46F88"/>
    <w:rsid w:val="00F54350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6A81BC7-35CD-403C-91DC-060FF60C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5A29"/>
    <w:pPr>
      <w:keepNext/>
      <w:outlineLvl w:val="0"/>
    </w:pPr>
    <w:rPr>
      <w:rFonts w:ascii="Arial" w:hAnsi="Arial"/>
      <w:b/>
      <w:kern w:val="28"/>
      <w:sz w:val="21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customStyle="1" w:styleId="objective">
    <w:name w:val="objective"/>
    <w:basedOn w:val="Normal"/>
    <w:next w:val="Normal"/>
    <w:rsid w:val="000D5A29"/>
    <w:pPr>
      <w:ind w:left="720" w:hanging="720"/>
    </w:pPr>
    <w:rPr>
      <w:rFonts w:ascii="Arial" w:hAnsi="Arial"/>
      <w:b/>
      <w:sz w:val="21"/>
      <w:szCs w:val="20"/>
    </w:rPr>
  </w:style>
  <w:style w:type="character" w:styleId="PageNumber">
    <w:name w:val="page number"/>
    <w:basedOn w:val="DefaultParagraphFont"/>
    <w:rsid w:val="000D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305: Biology</vt:lpstr>
    </vt:vector>
  </TitlesOfParts>
  <Company>ES Pearson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305: Biology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2018-03-08T20:03:00Z</dcterms:created>
  <dcterms:modified xsi:type="dcterms:W3CDTF">2018-03-08T20:04:00Z</dcterms:modified>
</cp:coreProperties>
</file>