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D8153F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357E62">
              <w:rPr>
                <w:rFonts w:ascii="Arial" w:hAnsi="Arial" w:cs="Arial"/>
                <w:b/>
                <w:color w:val="333399"/>
              </w:rPr>
              <w:t>303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357E62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Social Science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7C721F" w:rsidRPr="002E4F4F" w:rsidTr="009D0A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21F" w:rsidRPr="002E4F4F" w:rsidRDefault="007C721F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A04E1C" w:rsidRDefault="007C721F" w:rsidP="007C721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04E1C">
              <w:rPr>
                <w:rFonts w:cs="Arial"/>
                <w:sz w:val="20"/>
              </w:rPr>
              <w:t>CONTENT DOMAIN I—</w:t>
            </w:r>
            <w:r w:rsidR="00A04E1C" w:rsidRPr="00A04E1C">
              <w:rPr>
                <w:sz w:val="20"/>
              </w:rPr>
              <w:t>HISTORIOGRAPHY AND WORLD HISTORY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534DDE" w:rsidRDefault="004C0A7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534DDE" w:rsidRDefault="00A04E1C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  <w:r w:rsidR="007C721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2E4F4F">
            <w:pPr>
              <w:pStyle w:val="Tablerow1"/>
              <w:rPr>
                <w:rFonts w:cs="Arial"/>
              </w:rPr>
            </w:pPr>
          </w:p>
        </w:tc>
      </w:tr>
      <w:tr w:rsidR="00AC0403" w:rsidRPr="002E4F4F" w:rsidTr="00997D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C0403" w:rsidRPr="00EC0009" w:rsidRDefault="00AC0403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>Understand historical concepts, terms, sources, perspectives, and research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997D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0403" w:rsidRPr="002E4F4F" w:rsidRDefault="00AC0403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world history from the beginnings of human society to 1350 </w:t>
            </w:r>
            <w:r w:rsidRPr="00E531B1">
              <w:rPr>
                <w:caps/>
              </w:rPr>
              <w:t>CE</w:t>
            </w:r>
            <w:r>
              <w:rPr>
                <w:smallCaps/>
              </w:rP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997D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0403" w:rsidRPr="002E4F4F" w:rsidRDefault="00AC0403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br w:type="page"/>
              <w:t>Understand major developments in world history from 1350 to 1871.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997D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Default="00AC0403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>Understand major developments in world history from 1871 to the present.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2E4F4F">
            <w:pPr>
              <w:pStyle w:val="Tablerow2"/>
              <w:rPr>
                <w:rFonts w:cs="Arial"/>
              </w:rPr>
            </w:pPr>
          </w:p>
        </w:tc>
      </w:tr>
      <w:tr w:rsidR="007C721F" w:rsidRPr="002E4F4F" w:rsidTr="009D0A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21F" w:rsidRPr="002E4F4F" w:rsidRDefault="007C721F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A04E1C" w:rsidRDefault="007C721F" w:rsidP="007C721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04E1C">
              <w:rPr>
                <w:rFonts w:cs="Arial"/>
                <w:sz w:val="20"/>
              </w:rPr>
              <w:t>CONTENT DOMAIN II—</w:t>
            </w:r>
            <w:smartTag w:uri="urn:schemas-microsoft-com:office:smarttags" w:element="country-region">
              <w:smartTag w:uri="urn:schemas-microsoft-com:office:smarttags" w:element="place">
                <w:r w:rsidR="00A04E1C" w:rsidRPr="00A04E1C">
                  <w:rPr>
                    <w:sz w:val="20"/>
                  </w:rPr>
                  <w:t>U.S.</w:t>
                </w:r>
              </w:smartTag>
            </w:smartTag>
            <w:r w:rsidR="00A04E1C" w:rsidRPr="00A04E1C">
              <w:rPr>
                <w:sz w:val="20"/>
              </w:rPr>
              <w:t xml:space="preserve"> HISTORY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534DDE" w:rsidRDefault="004C0A7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A04E1C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7C721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</w:tr>
      <w:tr w:rsidR="00AC0403" w:rsidRPr="002E4F4F" w:rsidTr="00997D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C0403" w:rsidRPr="00EC0009" w:rsidRDefault="00AC0403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early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the precontact period to 1789.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997D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0403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br w:type="page"/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1789 to 1877.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997D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0403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A04E1C">
            <w:pPr>
              <w:pStyle w:val="Tabletext"/>
              <w:tabs>
                <w:tab w:val="left" w:pos="2475"/>
              </w:tabs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1877 to 1929.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997D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1929 to the present.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7C721F" w:rsidRPr="002E4F4F" w:rsidTr="009D0A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21F" w:rsidRPr="002E4F4F" w:rsidRDefault="007C721F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A04E1C" w:rsidRDefault="007C721F" w:rsidP="007C721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04E1C">
              <w:rPr>
                <w:rFonts w:cs="Arial"/>
                <w:sz w:val="20"/>
              </w:rPr>
              <w:t>CONTENT DOMAIN III—</w:t>
            </w:r>
            <w:r w:rsidR="00A04E1C" w:rsidRPr="00A04E1C">
              <w:rPr>
                <w:sz w:val="20"/>
              </w:rPr>
              <w:t>GEOGRAPHY AND CULTURE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534DDE" w:rsidRDefault="004C0A7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A04E1C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19</w:t>
            </w:r>
            <w:r w:rsidR="007C721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04E1C" w:rsidP="00A04E1C">
            <w:pPr>
              <w:pStyle w:val="Tabletext"/>
              <w:ind w:left="130" w:right="115"/>
              <w:rPr>
                <w:rFonts w:cs="Arial"/>
              </w:rPr>
            </w:pPr>
            <w:r>
              <w:t>Understand geographic terms, concepts, sources, and research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>Understand physical features, physical systems, and the interaction between the environment and human societies.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br w:type="page"/>
              <w:t>Understand human 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7C721F" w:rsidRPr="002E4F4F" w:rsidTr="009D0A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21F" w:rsidRPr="002E4F4F" w:rsidRDefault="007C721F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A04E1C" w:rsidRDefault="007C721F" w:rsidP="007C721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04E1C">
              <w:rPr>
                <w:rFonts w:cs="Arial"/>
                <w:sz w:val="20"/>
              </w:rPr>
              <w:t>CONTENT DOMAIN IV—</w:t>
            </w:r>
            <w:r w:rsidR="00A04E1C" w:rsidRPr="00A04E1C">
              <w:rPr>
                <w:sz w:val="20"/>
              </w:rPr>
              <w:t>GOVERNMENT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534DDE" w:rsidRDefault="004C0A7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6E35CF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7C721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>Understand political science concepts, terms, perspectives, and research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the foundations of </w:t>
            </w:r>
            <w:smartTag w:uri="urn:schemas-microsoft-com:office:smarttags" w:element="country-region">
              <w:r>
                <w:t>U.S.</w:t>
              </w:r>
            </w:smartTag>
            <w:r>
              <w:t xml:space="preserve"> government, the </w:t>
            </w:r>
            <w:smartTag w:uri="urn:schemas-microsoft-com:office:smarttags" w:element="country-region">
              <w:r>
                <w:t>U.S.</w:t>
              </w:r>
            </w:smartTag>
            <w:r>
              <w:t xml:space="preserve"> political process, and the rights and responsibilities of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citizenship.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the structure, organization, and operation of different levels of government in 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7C721F" w:rsidRPr="002E4F4F" w:rsidTr="009D0A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21F" w:rsidRPr="002E4F4F" w:rsidRDefault="007C721F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A04E1C" w:rsidRDefault="007C721F" w:rsidP="007C721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04E1C">
              <w:rPr>
                <w:rFonts w:cs="Arial"/>
                <w:sz w:val="20"/>
              </w:rPr>
              <w:t>CONTENT DOMAIN V—</w:t>
            </w:r>
            <w:r w:rsidR="00A04E1C" w:rsidRPr="00A04E1C">
              <w:rPr>
                <w:sz w:val="20"/>
              </w:rPr>
              <w:t>ECONOMICS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534DDE" w:rsidRDefault="004C0A7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6E35CF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7C721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C721F" w:rsidRPr="002E4F4F" w:rsidRDefault="007C721F" w:rsidP="00410B8B">
            <w:pPr>
              <w:pStyle w:val="Tablerow1"/>
              <w:rPr>
                <w:rFonts w:cs="Arial"/>
              </w:rPr>
            </w:pPr>
          </w:p>
        </w:tc>
      </w:tr>
      <w:tr w:rsidR="00AC0403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C0403" w:rsidRPr="00EC0009" w:rsidRDefault="00AC0403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997DDB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>Understand basic economic concepts, microeconomics, and consumer economics and personal finance.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  <w:tr w:rsidR="00AC0403" w:rsidRPr="002E4F4F" w:rsidTr="00AC04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03" w:rsidRPr="002E4F4F" w:rsidRDefault="00AC040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0403" w:rsidRDefault="00AC0403" w:rsidP="00997DDB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0403" w:rsidRPr="002E4F4F" w:rsidRDefault="00A04E1C" w:rsidP="007C721F">
            <w:pPr>
              <w:pStyle w:val="Tabletext"/>
              <w:ind w:left="130" w:right="115"/>
              <w:rPr>
                <w:rFonts w:cs="Arial"/>
              </w:rPr>
            </w:pPr>
            <w:r>
              <w:t>Understand macroeconomics and international economics.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03" w:rsidRPr="002E4F4F" w:rsidRDefault="00AC0403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A02C2A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71" w:rsidRDefault="003A2371" w:rsidP="00B1657C">
      <w:pPr>
        <w:pStyle w:val="Tablerow2"/>
      </w:pPr>
      <w:r>
        <w:separator/>
      </w:r>
    </w:p>
  </w:endnote>
  <w:endnote w:type="continuationSeparator" w:id="0">
    <w:p w:rsidR="003A2371" w:rsidRDefault="003A2371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3672DF" w:rsidTr="00711478">
      <w:tc>
        <w:tcPr>
          <w:tcW w:w="1569" w:type="dxa"/>
          <w:vMerge w:val="restart"/>
        </w:tcPr>
        <w:p w:rsidR="003672DF" w:rsidRPr="008B4E56" w:rsidRDefault="003672DF" w:rsidP="003672D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3672DF" w:rsidRPr="008B4E56" w:rsidRDefault="003672DF" w:rsidP="003672D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3672DF" w:rsidTr="00711478">
      <w:tc>
        <w:tcPr>
          <w:tcW w:w="1569" w:type="dxa"/>
          <w:vMerge/>
        </w:tcPr>
        <w:p w:rsidR="003672DF" w:rsidRPr="008B4E56" w:rsidRDefault="003672DF" w:rsidP="003672D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672DF" w:rsidRPr="008B4E56" w:rsidRDefault="003672DF" w:rsidP="003672D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3672DF" w:rsidTr="00711478">
      <w:tc>
        <w:tcPr>
          <w:tcW w:w="1569" w:type="dxa"/>
          <w:vMerge/>
        </w:tcPr>
        <w:p w:rsidR="003672DF" w:rsidRPr="008B4E56" w:rsidRDefault="003672DF" w:rsidP="003672D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672DF" w:rsidRPr="008B4E56" w:rsidRDefault="003672DF" w:rsidP="003672D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070436" w:rsidRDefault="00E506BE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3672DF" w:rsidTr="00711478">
      <w:tc>
        <w:tcPr>
          <w:tcW w:w="1569" w:type="dxa"/>
          <w:vMerge w:val="restart"/>
        </w:tcPr>
        <w:p w:rsidR="003672DF" w:rsidRPr="008B4E56" w:rsidRDefault="003672DF" w:rsidP="003672D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3672DF" w:rsidRPr="008B4E56" w:rsidRDefault="003672DF" w:rsidP="003672D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3672DF" w:rsidTr="00711478">
      <w:tc>
        <w:tcPr>
          <w:tcW w:w="1569" w:type="dxa"/>
          <w:vMerge/>
        </w:tcPr>
        <w:p w:rsidR="003672DF" w:rsidRPr="008B4E56" w:rsidRDefault="003672DF" w:rsidP="003672D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672DF" w:rsidRPr="008B4E56" w:rsidRDefault="003672DF" w:rsidP="003672D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3672DF" w:rsidTr="00711478">
      <w:tc>
        <w:tcPr>
          <w:tcW w:w="1569" w:type="dxa"/>
          <w:vMerge/>
        </w:tcPr>
        <w:p w:rsidR="003672DF" w:rsidRPr="008B4E56" w:rsidRDefault="003672DF" w:rsidP="003672D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672DF" w:rsidRPr="008B4E56" w:rsidRDefault="003672DF" w:rsidP="003672D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A02C2A" w:rsidRDefault="00E506BE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71" w:rsidRDefault="003A2371" w:rsidP="00B1657C">
      <w:pPr>
        <w:pStyle w:val="Tablerow2"/>
      </w:pPr>
      <w:r>
        <w:separator/>
      </w:r>
    </w:p>
  </w:footnote>
  <w:footnote w:type="continuationSeparator" w:id="0">
    <w:p w:rsidR="003A2371" w:rsidRDefault="003A2371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539A1"/>
    <w:rsid w:val="00070436"/>
    <w:rsid w:val="000B2BC3"/>
    <w:rsid w:val="00116F85"/>
    <w:rsid w:val="00147F03"/>
    <w:rsid w:val="00151B0C"/>
    <w:rsid w:val="0016492D"/>
    <w:rsid w:val="001A7150"/>
    <w:rsid w:val="001B38A8"/>
    <w:rsid w:val="002037B2"/>
    <w:rsid w:val="002C7FC5"/>
    <w:rsid w:val="002E45A6"/>
    <w:rsid w:val="002E4F4F"/>
    <w:rsid w:val="003259C2"/>
    <w:rsid w:val="00357E62"/>
    <w:rsid w:val="003672DF"/>
    <w:rsid w:val="00374191"/>
    <w:rsid w:val="003756A3"/>
    <w:rsid w:val="003A2371"/>
    <w:rsid w:val="00410B8B"/>
    <w:rsid w:val="00443CD8"/>
    <w:rsid w:val="004C0A78"/>
    <w:rsid w:val="00534DDE"/>
    <w:rsid w:val="005A706F"/>
    <w:rsid w:val="005E5845"/>
    <w:rsid w:val="00610681"/>
    <w:rsid w:val="00627B08"/>
    <w:rsid w:val="00633093"/>
    <w:rsid w:val="00650985"/>
    <w:rsid w:val="00653F4A"/>
    <w:rsid w:val="00667B88"/>
    <w:rsid w:val="006A0681"/>
    <w:rsid w:val="006E35CF"/>
    <w:rsid w:val="00751937"/>
    <w:rsid w:val="007C721F"/>
    <w:rsid w:val="007D481E"/>
    <w:rsid w:val="0082711A"/>
    <w:rsid w:val="009131DE"/>
    <w:rsid w:val="00950AAD"/>
    <w:rsid w:val="00955AA6"/>
    <w:rsid w:val="00997DDB"/>
    <w:rsid w:val="009B1D27"/>
    <w:rsid w:val="009C66B3"/>
    <w:rsid w:val="009D0A78"/>
    <w:rsid w:val="009F4C7C"/>
    <w:rsid w:val="00A02C2A"/>
    <w:rsid w:val="00A04E1C"/>
    <w:rsid w:val="00A804AA"/>
    <w:rsid w:val="00AC0403"/>
    <w:rsid w:val="00B1657C"/>
    <w:rsid w:val="00B25EF3"/>
    <w:rsid w:val="00C83F51"/>
    <w:rsid w:val="00C84F79"/>
    <w:rsid w:val="00CD5815"/>
    <w:rsid w:val="00D07443"/>
    <w:rsid w:val="00D8153F"/>
    <w:rsid w:val="00DA3FAC"/>
    <w:rsid w:val="00DE2F16"/>
    <w:rsid w:val="00E33199"/>
    <w:rsid w:val="00E506BE"/>
    <w:rsid w:val="00E93565"/>
    <w:rsid w:val="00E93D66"/>
    <w:rsid w:val="00EB3ADD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243486B-677F-49A7-A11F-925744C9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303: Social Science</vt:lpstr>
    </vt:vector>
  </TitlesOfParts>
  <Company>ES Pearson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303: Social Science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2018-03-08T19:56:00Z</dcterms:created>
  <dcterms:modified xsi:type="dcterms:W3CDTF">2018-03-08T19:57:00Z</dcterms:modified>
</cp:coreProperties>
</file>